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</w:pPr>
      <w:r/>
      <w:r/>
    </w:p>
    <w:tbl>
      <w:tblPr>
        <w:tblW w:w="151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48"/>
        <w:gridCol w:w="5709"/>
        <w:gridCol w:w="5708"/>
      </w:tblGrid>
      <w:tr>
        <w:tblPrEx/>
        <w:trPr>
          <w:jc w:val="center"/>
          <w:trHeight w:val="326" w:hRule="exact"/>
        </w:trPr>
        <w:tc>
          <w:tcPr>
            <w:gridSpan w:val="3"/>
            <w:shd w:val="clear" w:color="auto" w:fill="931f22"/>
            <w:tcW w:w="15165" w:type="dxa"/>
            <w:vAlign w:val="bottom"/>
            <w:textDirection w:val="lrTb"/>
            <w:noWrap w:val="false"/>
          </w:tcPr>
          <w:p>
            <w:pPr>
              <w:pStyle w:val="622"/>
              <w:spacing w:after="0" w:line="240" w:lineRule="auto"/>
              <w:shd w:val="clear" w:color="auto" w:fill="982327"/>
              <w:rPr>
                <w:rFonts w:ascii="Arial" w:hAnsi="Arial" w:cs="Arial"/>
                <w:color w:val="ffffff"/>
                <w:sz w:val="18"/>
                <w:szCs w:val="18"/>
              </w:rPr>
              <w:pBdr>
                <w:top w:val="single" w:color="982327" w:sz="0" w:space="0"/>
                <w:left w:val="single" w:color="982327" w:sz="0" w:space="0"/>
                <w:bottom w:val="single" w:color="982327" w:sz="0" w:space="0"/>
                <w:right w:val="single" w:color="982327" w:sz="0" w:space="0"/>
              </w:pBd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 xml:space="preserve">Расчет доступной мощности терминала</w:t>
            </w:r>
            <w:r>
              <w:rPr>
                <w:rFonts w:ascii="Arial" w:hAnsi="Arial" w:cs="Arial"/>
                <w:color w:val="ffffff"/>
                <w:sz w:val="18"/>
                <w:szCs w:val="18"/>
                <w:lang w:val="en-US"/>
              </w:rPr>
              <w:t xml:space="preserve"> 0</w:t>
            </w:r>
            <w:r>
              <w:rPr>
                <w:rFonts w:ascii="Arial" w:hAnsi="Arial" w:cs="Arial"/>
                <w:color w:val="ffffff"/>
                <w:sz w:val="18"/>
                <w:szCs w:val="18"/>
                <w:lang w:val="en-US"/>
              </w:rPr>
              <w:t xml:space="preserve">7</w:t>
            </w:r>
            <w:r>
              <w:rPr>
                <w:rFonts w:ascii="Arial" w:hAnsi="Arial" w:cs="Arial"/>
                <w:color w:val="ffffff"/>
                <w:sz w:val="18"/>
                <w:szCs w:val="18"/>
              </w:rPr>
              <w:t xml:space="preserve">/2</w:t>
            </w:r>
            <w:r>
              <w:rPr>
                <w:rFonts w:ascii="Arial" w:hAnsi="Arial" w:cs="Arial"/>
                <w:color w:val="ffffff"/>
                <w:sz w:val="18"/>
                <w:szCs w:val="18"/>
                <w:lang w:val="en-US"/>
              </w:rPr>
              <w:t xml:space="preserve">6</w:t>
            </w:r>
            <w:r>
              <w:rPr>
                <w:rFonts w:ascii="Arial" w:hAnsi="Arial" w:cs="Arial"/>
                <w:color w:val="ffffff"/>
                <w:sz w:val="18"/>
                <w:szCs w:val="18"/>
              </w:rPr>
            </w:r>
          </w:p>
        </w:tc>
      </w:tr>
      <w:tr>
        <w:tblPrEx/>
        <w:trPr>
          <w:jc w:val="center"/>
          <w:trHeight w:val="252" w:hRule="exact"/>
        </w:trPr>
        <w:tc>
          <w:tcPr>
            <w:shd w:val="clear" w:color="auto" w:fill="ffffff"/>
            <w:tcW w:w="3748" w:type="dxa"/>
            <w:textDirection w:val="lrTb"/>
            <w:noWrap w:val="false"/>
          </w:tcPr>
          <w:p>
            <w:pPr>
              <w:pStyle w:val="622"/>
              <w:spacing w:after="0" w:line="240" w:lineRule="auto"/>
              <w:shd w:val="clear" w:color="auto" w:fil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Терминал /</w:t>
            </w:r>
            <w:r>
              <w:rPr>
                <w:rFonts w:ascii="Arial" w:hAnsi="Arial" w:eastAsia="Arial" w:cs="Arial"/>
                <w:sz w:val="18"/>
                <w:szCs w:val="18"/>
                <w:lang w:val="en-US" w:bidi="en-US"/>
              </w:rPr>
              <w:t xml:space="preserve">Terminal</w:t>
            </w:r>
            <w:r>
              <w:rPr>
                <w:rFonts w:ascii="Arial" w:hAnsi="Arial" w:cs="Arial"/>
                <w:sz w:val="18"/>
                <w:szCs w:val="18"/>
              </w:rPr>
            </w:r>
          </w:p>
        </w:tc>
        <w:tc>
          <w:tcPr>
            <w:gridSpan w:val="2"/>
            <w:shd w:val="clear" w:color="auto" w:fill="ffffff"/>
            <w:tcW w:w="11417" w:type="dxa"/>
            <w:textDirection w:val="lrTb"/>
            <w:noWrap w:val="false"/>
          </w:tcPr>
          <w:p>
            <w:pPr>
              <w:pStyle w:val="622"/>
              <w:jc w:val="center"/>
              <w:spacing w:after="0" w:line="240" w:lineRule="auto"/>
              <w:shd w:val="clear" w:color="auto" w:fill="auto"/>
              <w:rPr>
                <w:rFonts w:ascii="Arial" w:hAnsi="Arial" w:eastAsia="Calibri" w:cs="Arial"/>
                <w:sz w:val="18"/>
                <w:szCs w:val="18"/>
                <w:lang w:bidi="en-US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bidi="en-US"/>
              </w:rPr>
              <w:t xml:space="preserve">ООО «ВСК» / VSC LLC</w:t>
            </w:r>
            <w:r>
              <w:rPr>
                <w:rFonts w:ascii="Arial" w:hAnsi="Arial" w:eastAsia="Calibri" w:cs="Arial"/>
                <w:sz w:val="18"/>
                <w:szCs w:val="18"/>
                <w:lang w:bidi="en-US"/>
              </w:rPr>
            </w:r>
          </w:p>
        </w:tc>
      </w:tr>
      <w:tr>
        <w:tblPrEx/>
        <w:trPr>
          <w:jc w:val="center"/>
          <w:trHeight w:val="557"/>
        </w:trPr>
        <w:tc>
          <w:tcPr>
            <w:shd w:val="clear" w:color="auto" w:fill="ffffff"/>
            <w:tcW w:w="3748" w:type="dxa"/>
            <w:vAlign w:val="center"/>
            <w:vMerge w:val="restart"/>
            <w:textDirection w:val="lrTb"/>
            <w:noWrap w:val="false"/>
          </w:tcPr>
          <w:p>
            <w:pPr>
              <w:pStyle w:val="622"/>
              <w:spacing w:after="0" w:line="240" w:lineRule="auto"/>
              <w:shd w:val="clear" w:color="auto" w:fil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Единиц / </w:t>
            </w:r>
            <w:r>
              <w:rPr>
                <w:rFonts w:ascii="Arial" w:hAnsi="Arial" w:eastAsia="Arial" w:cs="Arial"/>
                <w:sz w:val="18"/>
                <w:szCs w:val="18"/>
                <w:lang w:val="en-US" w:bidi="en-US"/>
              </w:rPr>
              <w:t xml:space="preserve">Units</w:t>
            </w:r>
            <w:r>
              <w:rPr>
                <w:rFonts w:ascii="Arial" w:hAnsi="Arial" w:cs="Arial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bottom w:val="single" w:color="000000" w:sz="4" w:space="0"/>
            </w:tcBorders>
            <w:tcW w:w="5709" w:type="dxa"/>
            <w:vAlign w:val="center"/>
            <w:textDirection w:val="lrTb"/>
            <w:noWrap w:val="false"/>
          </w:tcPr>
          <w:p>
            <w:pPr>
              <w:pStyle w:val="622"/>
              <w:jc w:val="center"/>
              <w:spacing w:after="0" w:line="240" w:lineRule="auto"/>
              <w:shd w:val="clear" w:color="auto" w:fil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en-US" w:bidi="en-US"/>
              </w:rPr>
              <w:t xml:space="preserve">Containers</w:t>
            </w:r>
            <w:r>
              <w:rPr>
                <w:rFonts w:ascii="Arial" w:hAnsi="Arial" w:eastAsia="Calibri" w:cs="Arial"/>
                <w:sz w:val="18"/>
                <w:szCs w:val="18"/>
                <w:lang w:bidi="en-US"/>
              </w:rPr>
              <w:t xml:space="preserve">/ Контейнеры</w:t>
            </w:r>
            <w:r>
              <w:rPr>
                <w:rFonts w:ascii="Arial" w:hAnsi="Arial" w:cs="Arial"/>
                <w:sz w:val="18"/>
                <w:szCs w:val="18"/>
              </w:rPr>
            </w:r>
          </w:p>
        </w:tc>
        <w:tc>
          <w:tcPr>
            <w:tcW w:w="5708" w:type="dxa"/>
            <w:vAlign w:val="center"/>
            <w:textDirection w:val="lrTb"/>
            <w:noWrap w:val="false"/>
          </w:tcPr>
          <w:p>
            <w:pPr>
              <w:pStyle w:val="622"/>
              <w:jc w:val="center"/>
              <w:spacing w:after="0" w:line="240" w:lineRule="auto"/>
              <w:shd w:val="clear" w:color="auto" w:fill="auto"/>
              <w:rPr>
                <w:rFonts w:ascii="Arial" w:hAnsi="Arial" w:eastAsia="Calibri" w:cs="Arial"/>
                <w:sz w:val="18"/>
                <w:szCs w:val="18"/>
                <w:lang w:val="en-US" w:bidi="en-US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en-US" w:bidi="en-US"/>
              </w:rPr>
              <w:t xml:space="preserve">Others</w:t>
            </w:r>
            <w:r>
              <w:rPr>
                <w:rFonts w:ascii="Arial" w:hAnsi="Arial" w:eastAsia="Calibri" w:cs="Arial"/>
                <w:sz w:val="18"/>
                <w:szCs w:val="18"/>
                <w:lang w:bidi="en-US"/>
              </w:rPr>
              <w:t xml:space="preserve">/ Иные</w:t>
            </w:r>
            <w:r>
              <w:rPr>
                <w:rFonts w:ascii="Arial" w:hAnsi="Arial" w:eastAsia="Calibri" w:cs="Arial"/>
                <w:sz w:val="18"/>
                <w:szCs w:val="18"/>
                <w:lang w:val="en-US" w:bidi="en-US"/>
              </w:rPr>
            </w:r>
          </w:p>
        </w:tc>
      </w:tr>
      <w:tr>
        <w:tblPrEx/>
        <w:trPr>
          <w:jc w:val="center"/>
          <w:trHeight w:val="556"/>
        </w:trPr>
        <w:tc>
          <w:tcPr>
            <w:shd w:val="clear" w:color="auto" w:fill="ffffff"/>
            <w:tcW w:w="3748" w:type="dxa"/>
            <w:vAlign w:val="center"/>
            <w:vMerge w:val="continue"/>
            <w:textDirection w:val="lrTb"/>
            <w:noWrap w:val="false"/>
          </w:tcPr>
          <w:p>
            <w:pPr>
              <w:pStyle w:val="622"/>
              <w:spacing w:after="0" w:line="240" w:lineRule="auto"/>
              <w:shd w:val="clear" w:color="auto" w:fill="auto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</w:r>
            <w:r>
              <w:rPr>
                <w:rFonts w:ascii="Arial" w:hAnsi="Arial" w:eastAsia="Arial" w:cs="Arial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</w:tcBorders>
            <w:tcW w:w="5709" w:type="dxa"/>
            <w:vAlign w:val="center"/>
            <w:textDirection w:val="lrTb"/>
            <w:noWrap w:val="false"/>
          </w:tcPr>
          <w:p>
            <w:pPr>
              <w:pStyle w:val="622"/>
              <w:jc w:val="center"/>
              <w:spacing w:after="0" w:line="240" w:lineRule="auto"/>
              <w:rPr>
                <w:rFonts w:ascii="Arial" w:hAnsi="Arial" w:eastAsia="Calibri" w:cs="Arial"/>
                <w:sz w:val="18"/>
                <w:szCs w:val="18"/>
                <w:lang w:val="en-US" w:bidi="en-US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en-US" w:bidi="en-US"/>
              </w:rPr>
              <w:t xml:space="preserve">Total TEU</w:t>
            </w:r>
            <w:r>
              <w:rPr>
                <w:rFonts w:ascii="Arial" w:hAnsi="Arial" w:eastAsia="Calibri" w:cs="Arial"/>
                <w:sz w:val="18"/>
                <w:szCs w:val="18"/>
                <w:lang w:bidi="en-US"/>
              </w:rPr>
              <w:t xml:space="preserve">/ ИТОГО </w:t>
            </w:r>
            <w:r>
              <w:rPr>
                <w:rFonts w:ascii="Arial" w:hAnsi="Arial" w:eastAsia="Calibri" w:cs="Arial"/>
                <w:sz w:val="18"/>
                <w:szCs w:val="18"/>
                <w:lang w:val="en-US" w:bidi="en-US"/>
              </w:rPr>
              <w:t xml:space="preserve">(TEU)</w:t>
            </w:r>
            <w:r>
              <w:rPr>
                <w:rFonts w:ascii="Arial" w:hAnsi="Arial" w:eastAsia="Calibri" w:cs="Arial"/>
                <w:sz w:val="18"/>
                <w:szCs w:val="18"/>
                <w:lang w:val="en-US" w:bidi="en-US"/>
              </w:rPr>
            </w:r>
          </w:p>
        </w:tc>
        <w:tc>
          <w:tcPr>
            <w:tcW w:w="5708" w:type="dxa"/>
            <w:vAlign w:val="center"/>
            <w:textDirection w:val="lrTb"/>
            <w:noWrap w:val="false"/>
          </w:tcPr>
          <w:p>
            <w:pPr>
              <w:pStyle w:val="622"/>
              <w:jc w:val="center"/>
              <w:spacing w:after="0" w:line="240" w:lineRule="auto"/>
              <w:rPr>
                <w:rFonts w:ascii="Arial" w:hAnsi="Arial" w:eastAsia="Calibri" w:cs="Arial"/>
                <w:sz w:val="18"/>
                <w:szCs w:val="18"/>
                <w:lang w:val="en-US" w:bidi="en-US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en-US" w:bidi="en-US"/>
              </w:rPr>
              <w:t xml:space="preserve">Tons</w:t>
            </w:r>
            <w:r>
              <w:rPr>
                <w:rFonts w:ascii="Arial" w:hAnsi="Arial" w:eastAsia="Calibri" w:cs="Arial"/>
                <w:sz w:val="18"/>
                <w:szCs w:val="18"/>
                <w:lang w:bidi="en-US"/>
              </w:rPr>
              <w:t xml:space="preserve">/ тонны</w:t>
            </w:r>
            <w:r>
              <w:rPr>
                <w:rFonts w:ascii="Arial" w:hAnsi="Arial" w:eastAsia="Calibri" w:cs="Arial"/>
                <w:sz w:val="18"/>
                <w:szCs w:val="18"/>
                <w:lang w:val="en-US" w:bidi="en-US"/>
              </w:rPr>
            </w:r>
          </w:p>
        </w:tc>
      </w:tr>
      <w:tr>
        <w:tblPrEx/>
        <w:trPr>
          <w:jc w:val="center"/>
          <w:trHeight w:val="681" w:hRule="exact"/>
        </w:trPr>
        <w:tc>
          <w:tcPr>
            <w:shd w:val="clear" w:color="auto" w:fill="ffffff"/>
            <w:tcW w:w="3748" w:type="dxa"/>
            <w:vAlign w:val="center"/>
            <w:textDirection w:val="lrTb"/>
            <w:noWrap w:val="false"/>
          </w:tcPr>
          <w:p>
            <w:pPr>
              <w:pStyle w:val="622"/>
              <w:spacing w:after="0" w:line="240" w:lineRule="auto"/>
              <w:shd w:val="clear" w:color="auto" w:fil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Нормативная (проектная) пропускная способность/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Regulatory (design) throughput</w:t>
            </w:r>
            <w:r>
              <w:rPr>
                <w:rFonts w:ascii="Arial" w:hAnsi="Arial" w:cs="Arial"/>
                <w:sz w:val="18"/>
                <w:szCs w:val="18"/>
              </w:rPr>
            </w:r>
          </w:p>
        </w:tc>
        <w:tc>
          <w:tcPr>
            <w:shd w:val="clear" w:color="auto" w:fill="ffffff"/>
            <w:tcW w:w="5709" w:type="dxa"/>
            <w:vAlign w:val="center"/>
            <w:textDirection w:val="lrTb"/>
            <w:noWrap w:val="false"/>
          </w:tcPr>
          <w:p>
            <w:pPr>
              <w:pStyle w:val="622"/>
              <w:ind w:hanging="13"/>
              <w:jc w:val="center"/>
              <w:spacing w:after="0" w:line="240" w:lineRule="auto"/>
              <w:shd w:val="clear" w:color="auto" w:fil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62000</w:t>
            </w:r>
            <w:r>
              <w:rPr>
                <w:rFonts w:ascii="Arial" w:hAnsi="Arial" w:cs="Arial"/>
                <w:sz w:val="18"/>
                <w:szCs w:val="18"/>
              </w:rPr>
            </w:r>
          </w:p>
        </w:tc>
        <w:tc>
          <w:tcPr>
            <w:tcW w:w="5708" w:type="dxa"/>
            <w:vAlign w:val="center"/>
            <w:textDirection w:val="lrTb"/>
            <w:noWrap w:val="false"/>
          </w:tcPr>
          <w:p>
            <w:pPr>
              <w:pStyle w:val="622"/>
              <w:ind w:hanging="13"/>
              <w:jc w:val="center"/>
              <w:spacing w:after="0" w:line="240" w:lineRule="auto"/>
              <w:shd w:val="clear" w:color="auto" w:fil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25000</w:t>
            </w:r>
            <w:r>
              <w:rPr>
                <w:rFonts w:ascii="Arial" w:hAnsi="Arial" w:cs="Arial"/>
                <w:sz w:val="18"/>
                <w:szCs w:val="18"/>
              </w:rPr>
            </w:r>
          </w:p>
        </w:tc>
      </w:tr>
      <w:tr>
        <w:tblPrEx/>
        <w:trPr>
          <w:jc w:val="center"/>
          <w:trHeight w:val="868" w:hRule="exact"/>
        </w:trPr>
        <w:tc>
          <w:tcPr>
            <w:shd w:val="clear" w:color="auto" w:fill="ffffff"/>
            <w:tcW w:w="3748" w:type="dxa"/>
            <w:vAlign w:val="center"/>
            <w:textDirection w:val="lrTb"/>
            <w:noWrap w:val="false"/>
          </w:tcPr>
          <w:p>
            <w:pPr>
              <w:pStyle w:val="622"/>
              <w:spacing w:after="0" w:line="348" w:lineRule="auto"/>
              <w:shd w:val="clear" w:color="auto" w:fill="auto"/>
              <w:rPr>
                <w:rFonts w:ascii="Arial" w:hAnsi="Arial" w:eastAsia="Arial" w:cs="Arial"/>
                <w:sz w:val="18"/>
                <w:szCs w:val="18"/>
                <w:lang w:bidi="en-US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Фактическая мощность, с учетом производственных ограничений/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lang w:val="en-US" w:bidi="en-US"/>
              </w:rPr>
              <w:t xml:space="preserve">Current</w:t>
            </w:r>
            <w:r>
              <w:rPr>
                <w:rFonts w:ascii="Arial" w:hAnsi="Arial" w:eastAsia="Arial" w:cs="Arial"/>
                <w:sz w:val="18"/>
                <w:szCs w:val="18"/>
                <w:lang w:bidi="en-US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lang w:val="en-US" w:bidi="en-US"/>
              </w:rPr>
              <w:t xml:space="preserve">Capacity</w:t>
            </w:r>
            <w:r>
              <w:rPr>
                <w:rFonts w:ascii="Arial" w:hAnsi="Arial" w:eastAsia="Arial" w:cs="Arial"/>
                <w:sz w:val="18"/>
                <w:szCs w:val="18"/>
                <w:lang w:bidi="en-US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lang w:val="en-US" w:bidi="en-US"/>
              </w:rPr>
              <w:t xml:space="preserve">Considering</w:t>
            </w:r>
            <w:r>
              <w:rPr>
                <w:rFonts w:ascii="Arial" w:hAnsi="Arial" w:eastAsia="Arial" w:cs="Arial"/>
                <w:sz w:val="18"/>
                <w:szCs w:val="18"/>
                <w:lang w:bidi="en-US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lang w:val="en-US" w:bidi="en-US"/>
              </w:rPr>
              <w:t xml:space="preserve">Restrictions</w:t>
            </w:r>
            <w:r>
              <w:rPr>
                <w:rFonts w:ascii="Arial" w:hAnsi="Arial" w:eastAsia="Arial" w:cs="Arial"/>
                <w:sz w:val="18"/>
                <w:szCs w:val="18"/>
                <w:lang w:bidi="en-US"/>
              </w:rPr>
            </w:r>
          </w:p>
          <w:p>
            <w:pPr>
              <w:pStyle w:val="622"/>
              <w:spacing w:after="0" w:line="348" w:lineRule="auto"/>
              <w:shd w:val="clear" w:color="auto" w:fil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</w:r>
          </w:p>
        </w:tc>
        <w:tc>
          <w:tcPr>
            <w:shd w:val="clear" w:color="auto" w:fill="ffffff"/>
            <w:tcW w:w="5709" w:type="dxa"/>
            <w:vAlign w:val="center"/>
            <w:textDirection w:val="lrTb"/>
            <w:noWrap w:val="false"/>
          </w:tcPr>
          <w:p>
            <w:pPr>
              <w:pStyle w:val="622"/>
              <w:ind w:hanging="13"/>
              <w:jc w:val="center"/>
              <w:spacing w:after="0" w:line="240" w:lineRule="auto"/>
              <w:shd w:val="clear" w:color="auto" w:fil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62000</w:t>
            </w:r>
            <w:r>
              <w:rPr>
                <w:rFonts w:ascii="Arial" w:hAnsi="Arial" w:cs="Arial"/>
                <w:sz w:val="18"/>
                <w:szCs w:val="18"/>
              </w:rPr>
            </w:r>
          </w:p>
        </w:tc>
        <w:tc>
          <w:tcPr>
            <w:tcW w:w="5708" w:type="dxa"/>
            <w:vAlign w:val="center"/>
            <w:textDirection w:val="lrTb"/>
            <w:noWrap w:val="false"/>
          </w:tcPr>
          <w:p>
            <w:pPr>
              <w:pStyle w:val="622"/>
              <w:ind w:hanging="13"/>
              <w:jc w:val="center"/>
              <w:spacing w:after="0" w:line="240" w:lineRule="auto"/>
              <w:shd w:val="clear" w:color="auto" w:fil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25000</w:t>
            </w:r>
            <w:r>
              <w:rPr>
                <w:rFonts w:ascii="Arial" w:hAnsi="Arial" w:cs="Arial"/>
                <w:sz w:val="18"/>
                <w:szCs w:val="18"/>
              </w:rPr>
            </w:r>
          </w:p>
        </w:tc>
      </w:tr>
      <w:tr>
        <w:tblPrEx/>
        <w:trPr>
          <w:jc w:val="center"/>
          <w:trHeight w:val="277" w:hRule="exact"/>
        </w:trPr>
        <w:tc>
          <w:tcPr>
            <w:shd w:val="clear" w:color="auto" w:fill="ffffff"/>
            <w:tcW w:w="3748" w:type="dxa"/>
            <w:vAlign w:val="center"/>
            <w:textDirection w:val="lrTb"/>
            <w:noWrap w:val="false"/>
          </w:tcPr>
          <w:p>
            <w:pPr>
              <w:pStyle w:val="622"/>
              <w:spacing w:after="0" w:line="240" w:lineRule="auto"/>
              <w:shd w:val="clear" w:color="auto" w:fil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Доступная мощность / </w:t>
            </w:r>
            <w:r>
              <w:rPr>
                <w:rFonts w:ascii="Arial" w:hAnsi="Arial" w:eastAsia="Arial" w:cs="Arial"/>
                <w:sz w:val="18"/>
                <w:szCs w:val="18"/>
                <w:lang w:val="en-US" w:bidi="en-US"/>
              </w:rPr>
              <w:t xml:space="preserve">Available Capacity</w:t>
            </w:r>
            <w:r>
              <w:rPr>
                <w:rFonts w:ascii="Arial" w:hAnsi="Arial" w:cs="Arial"/>
                <w:sz w:val="18"/>
                <w:szCs w:val="18"/>
              </w:rPr>
            </w:r>
          </w:p>
        </w:tc>
        <w:tc>
          <w:tcPr>
            <w:shd w:val="clear" w:color="auto" w:fill="ffffff"/>
            <w:tcW w:w="5709" w:type="dxa"/>
            <w:vAlign w:val="center"/>
            <w:textDirection w:val="lrTb"/>
            <w:noWrap w:val="false"/>
          </w:tcPr>
          <w:p>
            <w:pPr>
              <w:pStyle w:val="622"/>
              <w:ind w:hanging="13"/>
              <w:jc w:val="center"/>
              <w:spacing w:after="0" w:line="240" w:lineRule="auto"/>
              <w:shd w:val="clear" w:color="auto" w:fil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22000</w:t>
            </w:r>
            <w:r>
              <w:rPr>
                <w:rFonts w:ascii="Arial" w:hAnsi="Arial" w:cs="Arial"/>
                <w:sz w:val="18"/>
                <w:szCs w:val="18"/>
              </w:rPr>
            </w:r>
          </w:p>
        </w:tc>
        <w:tc>
          <w:tcPr>
            <w:tcW w:w="5708" w:type="dxa"/>
            <w:vAlign w:val="center"/>
            <w:textDirection w:val="lrTb"/>
            <w:noWrap w:val="false"/>
          </w:tcPr>
          <w:p>
            <w:pPr>
              <w:pStyle w:val="622"/>
              <w:ind w:hanging="13"/>
              <w:jc w:val="center"/>
              <w:spacing w:after="0" w:line="240" w:lineRule="auto"/>
              <w:shd w:val="clear" w:color="auto" w:fil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13000</w:t>
            </w:r>
            <w:r>
              <w:rPr>
                <w:rFonts w:ascii="Arial" w:hAnsi="Arial" w:cs="Arial"/>
                <w:sz w:val="18"/>
                <w:szCs w:val="18"/>
              </w:rPr>
            </w:r>
          </w:p>
        </w:tc>
      </w:tr>
    </w:tbl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r/>
      <w:r/>
    </w:p>
    <w:sectPr>
      <w:footnotePr/>
      <w:endnotePr/>
      <w:type w:val="nextPage"/>
      <w:pgSz w:w="16838" w:h="11906" w:orient="landscape"/>
      <w:pgMar w:top="85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character" w:styleId="621" w:customStyle="1">
    <w:name w:val="Другое_"/>
    <w:basedOn w:val="618"/>
    <w:link w:val="622"/>
    <w:rPr>
      <w:rFonts w:ascii="Times New Roman" w:hAnsi="Times New Roman" w:eastAsia="Times New Roman" w:cs="Times New Roman"/>
      <w:shd w:val="clear" w:color="auto" w:fill="ffffff"/>
    </w:rPr>
  </w:style>
  <w:style w:type="paragraph" w:styleId="622" w:customStyle="1">
    <w:name w:val="Другое"/>
    <w:basedOn w:val="617"/>
    <w:link w:val="621"/>
    <w:pPr>
      <w:spacing w:after="240" w:line="264" w:lineRule="auto"/>
      <w:shd w:val="clear" w:color="auto" w:fill="ffffff"/>
      <w:widowControl w:val="off"/>
    </w:pPr>
    <w:rPr>
      <w:rFonts w:ascii="Times New Roman" w:hAnsi="Times New Roman" w:eastAsia="Times New Roman" w:cs="Times New Roma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Enin</dc:creator>
  <cp:keywords/>
  <dc:description/>
  <cp:lastModifiedBy>Pavel Opanasyuk</cp:lastModifiedBy>
  <cp:revision>47</cp:revision>
  <dcterms:created xsi:type="dcterms:W3CDTF">2023-05-05T08:01:00Z</dcterms:created>
  <dcterms:modified xsi:type="dcterms:W3CDTF">2026-06-30T12:35:34Z</dcterms:modified>
</cp:coreProperties>
</file>